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06405D9F" w14:textId="0A5F5CC6" w:rsidR="00B778A3" w:rsidRPr="00007B2E"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r w:rsidRPr="00007B2E">
        <w:t xml:space="preserve"> </w:t>
      </w:r>
      <w:r w:rsidR="00007B2E" w:rsidRPr="00007B2E">
        <w:rPr>
          <w:rFonts w:ascii="Tahoma" w:hAnsi="Tahoma" w:cs="Tahoma"/>
          <w:b/>
          <w:sz w:val="20"/>
          <w:szCs w:val="20"/>
          <w:lang w:eastAsia="ar-SA"/>
        </w:rPr>
        <w:t>PROCEDURA APERTA PER L’AFFIDAMENTO DEI LAVORI DI CUI AL PROGETTO “PNNR, MISSIONE 4 ISTRUZIONE E RICERCA COMPONENTE 1 POTENZIAMENTO DELL'OFFERTA DEI SERVIZI DI ISTRUZIONE: DAGLI ASILI NIDO ALLE UNIVERSITÀ INVESTIMENTO 1.2: "PIANO DI ESTENSIONE DEL TEMPO PIENO E MENSE", FINANZIATO DALLUNIONE EUROPEA NEXT GENERATION EU. “REALIZZAZIONE NUOVA MENSA SCOLASTICA PRESSO LA SCUOLA PRIMARIA SITA IN PONTE DELL'OLIO, VIA F. ACERBI, CUP B75E22001510006, CIG 98850308CE”.</w:t>
      </w:r>
    </w:p>
    <w:p w14:paraId="4AAB15AB" w14:textId="583BB94B"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mandante di Raggruppamento Temporaneo di concorrenti o di Consorzio ex art. 45, comma 2, lett. d) ed e)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fra società cooperative di produzione e lavoro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consorzio tra imprese artigiane ai sensi dell’art. 45, comma 2, lett. b)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operatore economico stabilito in altro Stato membro ex art. 45, comma 1, del </w:t>
      </w:r>
      <w:proofErr w:type="spellStart"/>
      <w:r>
        <w:rPr>
          <w:rFonts w:ascii="Tahoma" w:eastAsia="Times New Roman" w:hAnsi="Tahoma" w:cs="Tahoma"/>
          <w:color w:val="000000"/>
          <w:sz w:val="20"/>
          <w:szCs w:val="20"/>
        </w:rPr>
        <w:t>D.Lgs.</w:t>
      </w:r>
      <w:proofErr w:type="spellEnd"/>
      <w:r>
        <w:rPr>
          <w:rFonts w:ascii="Tahoma" w:eastAsia="Times New Roman" w:hAnsi="Tahoma" w:cs="Tahoma"/>
          <w:color w:val="000000"/>
          <w:sz w:val="20"/>
          <w:szCs w:val="20"/>
        </w:rPr>
        <w:t xml:space="preserve">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7A73A80C" w:rsidR="00552F18" w:rsidRPr="00F72515" w:rsidRDefault="00AE7553" w:rsidP="00552F18">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4B7929FC"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201D280B" w14:textId="68EA258C" w:rsidR="00552F18" w:rsidRPr="00D17C78" w:rsidRDefault="00552F18" w:rsidP="00D17C78">
      <w:pPr>
        <w:pStyle w:val="Paragrafoelenco"/>
        <w:numPr>
          <w:ilvl w:val="0"/>
          <w:numId w:val="2"/>
        </w:numPr>
        <w:spacing w:after="62" w:line="240" w:lineRule="auto"/>
        <w:ind w:left="357" w:hanging="357"/>
        <w:contextualSpacing w:val="0"/>
        <w:jc w:val="both"/>
        <w:rPr>
          <w:rFonts w:ascii="Tahoma" w:hAnsi="Tahoma" w:cs="Tahoma"/>
          <w:sz w:val="20"/>
          <w:szCs w:val="20"/>
        </w:rPr>
      </w:pPr>
      <w:r w:rsidRPr="00D17C78">
        <w:rPr>
          <w:rFonts w:ascii="Tahoma" w:eastAsia="Times New Roman" w:hAnsi="Tahoma" w:cs="Tahoma"/>
          <w:color w:val="000000"/>
          <w:sz w:val="20"/>
          <w:szCs w:val="20"/>
          <w:lang w:eastAsia="ar-SA" w:bidi="it-IT"/>
        </w:rPr>
        <w:t>di essere consapevole che, in caso di aggiudicazione, dovrà essere in possesso delle abilitazioni ad eseguire impianti ai sensi del D.M. 37/2008</w:t>
      </w:r>
      <w:r w:rsidR="00D17C78" w:rsidRPr="00D17C78">
        <w:rPr>
          <w:rFonts w:ascii="Tahoma" w:hAnsi="Tahoma" w:cs="Tahoma"/>
          <w:sz w:val="20"/>
          <w:szCs w:val="20"/>
        </w:rPr>
        <w:t xml:space="preserve">, art. 1, comma 2, lettere a), c), d), e), f), g); </w:t>
      </w:r>
    </w:p>
    <w:p w14:paraId="1996019E" w14:textId="0157D123" w:rsidR="00552F18" w:rsidRPr="00691C19" w:rsidRDefault="00552F18" w:rsidP="00D17C7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9325D1">
        <w:rPr>
          <w:rFonts w:ascii="Tahoma" w:eastAsia="Times New Roman" w:hAnsi="Tahoma" w:cs="Tahoma"/>
          <w:color w:val="000000"/>
          <w:sz w:val="20"/>
          <w:szCs w:val="20"/>
          <w:lang w:eastAsia="ar-SA"/>
        </w:rPr>
        <w:t>;</w:t>
      </w:r>
    </w:p>
    <w:p w14:paraId="2AC8D926" w14:textId="554E8F32" w:rsidR="00552F18" w:rsidRPr="00691C19" w:rsidRDefault="00552F18" w:rsidP="00D17C7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5D1A244" w14:textId="77777777" w:rsidR="00070189" w:rsidRDefault="00070189" w:rsidP="0007018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64ADEFF" w14:textId="77777777" w:rsidR="00070189" w:rsidRDefault="00070189" w:rsidP="0007018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4159C3BD" w14:textId="77777777" w:rsidR="00070189" w:rsidRPr="00064A2F" w:rsidRDefault="00070189" w:rsidP="00070189">
      <w:pPr>
        <w:numPr>
          <w:ilvl w:val="0"/>
          <w:numId w:val="2"/>
        </w:numPr>
        <w:suppressAutoHyphens/>
        <w:spacing w:before="119"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lastRenderedPageBreak/>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1F89C08C" w:rsidR="00552F18" w:rsidRPr="001B5585" w:rsidRDefault="00552F18" w:rsidP="00FC6EA3">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1B5585">
        <w:rPr>
          <w:rFonts w:ascii="Tahoma" w:eastAsia="Times New Roman" w:hAnsi="Tahoma" w:cs="Tahoma"/>
          <w:color w:val="000000"/>
          <w:sz w:val="20"/>
          <w:szCs w:val="20"/>
          <w:lang w:eastAsia="ar-SA" w:bidi="it-IT"/>
        </w:rPr>
        <w:lastRenderedPageBreak/>
        <w:t xml:space="preserve">di essere edotto degli obblighi derivanti dal Codice di Comportamento dei dipendenti pubblici </w:t>
      </w:r>
      <w:r w:rsidR="001B5585" w:rsidRPr="001B5585">
        <w:rPr>
          <w:rFonts w:ascii="Tahoma" w:eastAsia="Times New Roman" w:hAnsi="Tahoma" w:cs="Tahoma"/>
          <w:color w:val="000000"/>
          <w:sz w:val="20"/>
          <w:szCs w:val="20"/>
          <w:lang w:eastAsia="ar-SA" w:bidi="it-IT"/>
        </w:rPr>
        <w:t>del</w:t>
      </w:r>
      <w:r w:rsidR="001B5585" w:rsidRPr="001B5585">
        <w:rPr>
          <w:rFonts w:ascii="Tahoma" w:eastAsia="Times New Roman" w:hAnsi="Tahoma" w:cs="Tahoma"/>
          <w:color w:val="000000"/>
          <w:sz w:val="20"/>
          <w:szCs w:val="20"/>
          <w:lang w:eastAsia="ar-SA" w:bidi="it-IT"/>
        </w:rPr>
        <w:t xml:space="preserve"> </w:t>
      </w:r>
      <w:r w:rsidR="001B5585" w:rsidRPr="001B5585">
        <w:rPr>
          <w:rFonts w:ascii="Tahoma" w:eastAsia="Times New Roman" w:hAnsi="Tahoma" w:cs="Tahoma"/>
          <w:color w:val="000000"/>
          <w:sz w:val="20"/>
          <w:szCs w:val="20"/>
          <w:lang w:eastAsia="ar-SA" w:bidi="it-IT"/>
        </w:rPr>
        <w:t>Comune di Ponte dell’Olio, approvato con Delibera di Giunta Comunale n° 6 del 29/01/2014 e di impegnarsi, in caso di aggiudicazione, a osservare e far osservare ai propri dipendenti e collaboratori il suddetto codice, pena la risoluzione del contratto;</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561D2F1" w:rsidR="00552F18" w:rsidRPr="001B5585"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 xml:space="preserve">(ai sensi del comma 52 dell’art. 1 della Legge 190/2012 e della Circolare Ministero dell’Interno prot. 25954 del 23/03/2016 e DPCM 18/04/2013, come aggiornato dal DPCM 24/11/2016). </w:t>
      </w:r>
      <w:r w:rsidR="00552F18" w:rsidRPr="00070189">
        <w:rPr>
          <w:rFonts w:ascii="Tahoma" w:eastAsia="Times New Roman" w:hAnsi="Tahoma" w:cs="Tahoma"/>
          <w:b/>
          <w:color w:val="000000"/>
          <w:sz w:val="20"/>
          <w:szCs w:val="20"/>
          <w:lang w:eastAsia="ar-SA"/>
        </w:rPr>
        <w:t xml:space="preserve">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w:t>
      </w:r>
      <w:r w:rsidR="00552F18" w:rsidRPr="001B5585">
        <w:rPr>
          <w:rFonts w:ascii="Tahoma" w:eastAsia="Times New Roman" w:hAnsi="Tahoma" w:cs="Tahoma"/>
          <w:b/>
          <w:color w:val="000000"/>
          <w:sz w:val="20"/>
          <w:szCs w:val="20"/>
          <w:lang w:eastAsia="ar-SA"/>
        </w:rPr>
        <w:t>nominativi in sede di gara);</w:t>
      </w:r>
    </w:p>
    <w:p w14:paraId="7EC13B26" w14:textId="685225F1" w:rsidR="008F2650" w:rsidRPr="001B5585" w:rsidRDefault="00552F18" w:rsidP="008F2650">
      <w:pPr>
        <w:numPr>
          <w:ilvl w:val="0"/>
          <w:numId w:val="2"/>
        </w:numPr>
        <w:suppressAutoHyphens/>
        <w:spacing w:before="120" w:after="40" w:line="240" w:lineRule="auto"/>
        <w:ind w:left="357" w:hanging="357"/>
        <w:jc w:val="both"/>
        <w:rPr>
          <w:rFonts w:ascii="Tahoma" w:eastAsia="Times New Roman" w:hAnsi="Tahoma" w:cs="Tahoma"/>
          <w:color w:val="000000"/>
          <w:sz w:val="20"/>
          <w:szCs w:val="20"/>
        </w:rPr>
      </w:pPr>
      <w:r w:rsidRPr="001B5585">
        <w:rPr>
          <w:rFonts w:ascii="Tahoma" w:hAnsi="Tahoma" w:cs="Tahoma"/>
          <w:sz w:val="20"/>
          <w:szCs w:val="20"/>
        </w:rPr>
        <w:t xml:space="preserve">di accettare </w:t>
      </w:r>
      <w:r w:rsidR="00400481" w:rsidRPr="001B5585">
        <w:rPr>
          <w:rFonts w:ascii="Tahoma" w:hAnsi="Tahoma" w:cs="Tahoma"/>
          <w:sz w:val="20"/>
          <w:szCs w:val="20"/>
        </w:rPr>
        <w:t xml:space="preserve">le clausole del </w:t>
      </w:r>
      <w:r w:rsidR="00400481" w:rsidRPr="001B5585">
        <w:rPr>
          <w:rFonts w:ascii="Tahoma" w:hAnsi="Tahoma" w:cs="Tahoma"/>
          <w:b/>
          <w:sz w:val="20"/>
          <w:szCs w:val="20"/>
        </w:rPr>
        <w:t>“Protocollo d'intesa per la prevenzione dei tentativi di infiltrazione della criminalità organizzata nel settore degli appalti e concessioni di lavori pubblici”</w:t>
      </w:r>
      <w:r w:rsidR="008F2650" w:rsidRPr="001B5585">
        <w:rPr>
          <w:rFonts w:ascii="Tahoma" w:hAnsi="Tahoma" w:cs="Tahoma"/>
          <w:b/>
          <w:sz w:val="20"/>
          <w:szCs w:val="20"/>
        </w:rPr>
        <w:t>,</w:t>
      </w:r>
      <w:r w:rsidR="00400481" w:rsidRPr="001B5585">
        <w:rPr>
          <w:rFonts w:ascii="Tahoma" w:hAnsi="Tahoma" w:cs="Tahoma"/>
          <w:sz w:val="20"/>
          <w:szCs w:val="20"/>
        </w:rPr>
        <w:t xml:space="preserve"> </w:t>
      </w:r>
      <w:r w:rsidR="008F2650" w:rsidRPr="001B5585">
        <w:rPr>
          <w:rFonts w:ascii="Tahoma" w:hAnsi="Tahoma" w:cs="Tahoma"/>
          <w:sz w:val="20"/>
          <w:szCs w:val="20"/>
        </w:rPr>
        <w:t xml:space="preserve">sottoscritto dal Comune di </w:t>
      </w:r>
      <w:r w:rsidR="00D17C78">
        <w:rPr>
          <w:rFonts w:ascii="Tahoma" w:hAnsi="Tahoma" w:cs="Tahoma"/>
          <w:sz w:val="20"/>
          <w:szCs w:val="20"/>
        </w:rPr>
        <w:t>Ponte dell’Olio</w:t>
      </w:r>
      <w:r w:rsidR="008F2650" w:rsidRPr="001B5585">
        <w:rPr>
          <w:rFonts w:ascii="Tahoma" w:hAnsi="Tahoma" w:cs="Tahoma"/>
          <w:sz w:val="20"/>
          <w:szCs w:val="20"/>
        </w:rPr>
        <w:t xml:space="preserve"> e la Prefettura di Piacenza in data </w:t>
      </w:r>
      <w:r w:rsidR="001B5585" w:rsidRPr="001B5585">
        <w:rPr>
          <w:rFonts w:ascii="Tahoma" w:hAnsi="Tahoma" w:cs="Tahoma"/>
          <w:sz w:val="20"/>
          <w:szCs w:val="20"/>
        </w:rPr>
        <w:t>24</w:t>
      </w:r>
      <w:r w:rsidR="008F2650" w:rsidRPr="001B5585">
        <w:rPr>
          <w:rFonts w:ascii="Tahoma" w:hAnsi="Tahoma" w:cs="Tahoma"/>
          <w:sz w:val="20"/>
          <w:szCs w:val="20"/>
        </w:rPr>
        <w:t xml:space="preserve">/09/2020 consultabile al presente collegamento: </w:t>
      </w:r>
    </w:p>
    <w:p w14:paraId="2D481CF3" w14:textId="31B12D4A" w:rsidR="001B5585" w:rsidRPr="001B5585" w:rsidRDefault="001B5585" w:rsidP="001B5585">
      <w:pPr>
        <w:pStyle w:val="Paragrafoelenco"/>
        <w:spacing w:after="120"/>
        <w:ind w:left="360"/>
        <w:rPr>
          <w:rFonts w:ascii="Tahoma" w:hAnsi="Tahoma" w:cs="Tahoma"/>
          <w:sz w:val="20"/>
          <w:szCs w:val="20"/>
        </w:rPr>
      </w:pPr>
      <w:hyperlink r:id="rId7" w:history="1">
        <w:r w:rsidRPr="001B5585">
          <w:rPr>
            <w:rStyle w:val="Collegamentoipertestuale"/>
            <w:rFonts w:ascii="Tahoma" w:hAnsi="Tahoma" w:cs="Tahoma"/>
            <w:sz w:val="20"/>
            <w:szCs w:val="20"/>
          </w:rPr>
          <w:t>https://www.comune.pontedellolio.pc.it/c033036/zf/index.php/trasparenza/index/index/categoria/8</w:t>
        </w:r>
      </w:hyperlink>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819886477">
    <w:abstractNumId w:val="0"/>
  </w:num>
  <w:num w:numId="2" w16cid:durableId="59913808">
    <w:abstractNumId w:val="3"/>
  </w:num>
  <w:num w:numId="3" w16cid:durableId="270285519">
    <w:abstractNumId w:val="2"/>
  </w:num>
  <w:num w:numId="4" w16cid:durableId="536091872">
    <w:abstractNumId w:val="4"/>
  </w:num>
  <w:num w:numId="5" w16cid:durableId="1654870843">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4777B"/>
    <w:rsid w:val="00064A2F"/>
    <w:rsid w:val="00070189"/>
    <w:rsid w:val="001B5585"/>
    <w:rsid w:val="00251BC4"/>
    <w:rsid w:val="00280D8D"/>
    <w:rsid w:val="002B3E2D"/>
    <w:rsid w:val="003E6C4F"/>
    <w:rsid w:val="00400481"/>
    <w:rsid w:val="004E4C80"/>
    <w:rsid w:val="004F3465"/>
    <w:rsid w:val="00552F18"/>
    <w:rsid w:val="005D34CB"/>
    <w:rsid w:val="007227C4"/>
    <w:rsid w:val="00824392"/>
    <w:rsid w:val="008F2650"/>
    <w:rsid w:val="009325D1"/>
    <w:rsid w:val="00AE7553"/>
    <w:rsid w:val="00B778A3"/>
    <w:rsid w:val="00BB7DF9"/>
    <w:rsid w:val="00D17C78"/>
    <w:rsid w:val="00D35264"/>
    <w:rsid w:val="00D743CB"/>
    <w:rsid w:val="00F70D29"/>
    <w:rsid w:val="00F72515"/>
    <w:rsid w:val="00FA5F4F"/>
    <w:rsid w:val="00FC6EA3"/>
    <w:rsid w:val="00FD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mune.pontedellolio.pc.it/c033036/zf/index.php/trasparenza/index/index/categori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3049</Words>
  <Characters>17385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30</cp:revision>
  <dcterms:created xsi:type="dcterms:W3CDTF">2023-03-27T09:51:00Z</dcterms:created>
  <dcterms:modified xsi:type="dcterms:W3CDTF">2023-06-14T11:07:00Z</dcterms:modified>
</cp:coreProperties>
</file>